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B22" w:rsidRPr="00B15682" w:rsidRDefault="004A273E">
      <w:pPr>
        <w:spacing w:after="0" w:line="240" w:lineRule="auto"/>
        <w:rPr>
          <w:rFonts w:asciiTheme="minorHAnsi" w:hAnsiTheme="minorHAnsi" w:cs="Arial"/>
          <w:b/>
          <w:i/>
          <w:sz w:val="24"/>
          <w:szCs w:val="24"/>
          <w:lang w:val="en"/>
        </w:rPr>
      </w:pPr>
      <w:bookmarkStart w:id="0" w:name="_GoBack"/>
      <w:bookmarkEnd w:id="0"/>
      <w:r>
        <w:rPr>
          <w:rFonts w:cs="Arial"/>
          <w:b/>
          <w:i/>
          <w:sz w:val="24"/>
          <w:szCs w:val="24"/>
          <w:lang w:val="en"/>
        </w:rPr>
        <w:t>Alpha CubeSat St</w:t>
      </w:r>
      <w:r w:rsidRPr="00B15682">
        <w:rPr>
          <w:rFonts w:asciiTheme="minorHAnsi" w:hAnsiTheme="minorHAnsi" w:cs="Arial"/>
          <w:b/>
          <w:i/>
          <w:sz w:val="24"/>
          <w:szCs w:val="24"/>
          <w:lang w:val="en"/>
        </w:rPr>
        <w:t>ructures Chapter</w:t>
      </w:r>
    </w:p>
    <w:p w:rsidR="002B4B22" w:rsidRPr="00B15682" w:rsidRDefault="002B4B22">
      <w:pPr>
        <w:spacing w:after="0" w:line="240" w:lineRule="auto"/>
        <w:rPr>
          <w:rFonts w:asciiTheme="minorHAnsi" w:hAnsiTheme="minorHAnsi" w:cs="Arial"/>
          <w:sz w:val="24"/>
          <w:szCs w:val="24"/>
          <w:lang w:val="en"/>
        </w:rPr>
      </w:pPr>
    </w:p>
    <w:p w:rsidR="002B4B22" w:rsidRPr="00B15682" w:rsidRDefault="004A273E">
      <w:pPr>
        <w:spacing w:after="0" w:line="240" w:lineRule="auto"/>
        <w:rPr>
          <w:rFonts w:asciiTheme="minorHAnsi" w:hAnsiTheme="minorHAnsi" w:cs="Arial"/>
          <w:b/>
          <w:sz w:val="24"/>
          <w:szCs w:val="24"/>
          <w:lang w:val="en"/>
        </w:rPr>
      </w:pPr>
      <w:r w:rsidRPr="00B15682">
        <w:rPr>
          <w:rFonts w:asciiTheme="minorHAnsi" w:hAnsiTheme="minorHAnsi" w:cs="Arial"/>
          <w:b/>
          <w:sz w:val="24"/>
          <w:szCs w:val="24"/>
          <w:lang w:val="en"/>
        </w:rPr>
        <w:t>Dimensions and Mass Properties of ACS Structure</w:t>
      </w:r>
    </w:p>
    <w:p w:rsidR="002B4B22" w:rsidRPr="00B15682" w:rsidRDefault="002B4B22">
      <w:pPr>
        <w:spacing w:after="0" w:line="240" w:lineRule="auto"/>
        <w:rPr>
          <w:rFonts w:asciiTheme="minorHAnsi" w:hAnsiTheme="minorHAnsi" w:cs="Arial"/>
          <w:sz w:val="24"/>
          <w:szCs w:val="24"/>
          <w:lang w:val="en"/>
        </w:rPr>
      </w:pPr>
    </w:p>
    <w:p w:rsidR="002B4B22" w:rsidRPr="00B15682" w:rsidRDefault="004A273E">
      <w:pPr>
        <w:spacing w:after="0" w:line="240" w:lineRule="auto"/>
        <w:rPr>
          <w:rFonts w:asciiTheme="minorHAnsi" w:hAnsiTheme="minorHAnsi" w:cs="Arial"/>
          <w:sz w:val="24"/>
          <w:szCs w:val="24"/>
          <w:lang w:val="en"/>
        </w:rPr>
      </w:pPr>
      <w:r w:rsidRPr="00B15682">
        <w:rPr>
          <w:rFonts w:asciiTheme="minorHAnsi" w:hAnsiTheme="minorHAnsi" w:cs="Arial"/>
          <w:sz w:val="24"/>
          <w:szCs w:val="24"/>
          <w:lang w:val="en"/>
        </w:rPr>
        <w:t>The structural layout is defined to be a 1Ux1Ux3U center stack with tandem 0.5Ux1Ux3U volumes on either side. This configuration is to position the main propulsive system thrust through the center of gravity of the spacecraft. Deployable trifold solar panels will be attached to the 2Ux3U sides of the spacecraft. Our size is constrained by the SLS Payload User’s Guide (SLS-SPIE-HDBK-005) as defined in table 5-1 on page 22, our maximum stowed dimensions cannot exceed:</w:t>
      </w:r>
    </w:p>
    <w:p w:rsidR="002B4B22" w:rsidRPr="00B15682" w:rsidRDefault="004A273E">
      <w:pPr>
        <w:spacing w:after="0" w:line="240" w:lineRule="auto"/>
        <w:rPr>
          <w:rFonts w:asciiTheme="minorHAnsi" w:hAnsiTheme="minorHAnsi" w:cs="Arial"/>
          <w:sz w:val="24"/>
          <w:szCs w:val="24"/>
          <w:lang w:val="en"/>
        </w:rPr>
      </w:pPr>
      <w:r w:rsidRPr="00B15682">
        <w:rPr>
          <w:rFonts w:asciiTheme="minorHAnsi" w:hAnsiTheme="minorHAnsi" w:cs="Arial"/>
          <w:sz w:val="24"/>
          <w:szCs w:val="24"/>
          <w:lang w:val="en"/>
        </w:rPr>
        <w:t>Width: 239.00mm</w:t>
      </w:r>
    </w:p>
    <w:p w:rsidR="002B4B22" w:rsidRPr="00B15682" w:rsidRDefault="004A273E">
      <w:pPr>
        <w:spacing w:after="0" w:line="240" w:lineRule="auto"/>
        <w:rPr>
          <w:rFonts w:asciiTheme="minorHAnsi" w:hAnsiTheme="minorHAnsi" w:cs="Arial"/>
          <w:sz w:val="24"/>
          <w:szCs w:val="24"/>
          <w:lang w:val="en"/>
        </w:rPr>
      </w:pPr>
      <w:r w:rsidRPr="00B15682">
        <w:rPr>
          <w:rFonts w:asciiTheme="minorHAnsi" w:hAnsiTheme="minorHAnsi" w:cs="Arial"/>
          <w:sz w:val="24"/>
          <w:szCs w:val="24"/>
          <w:lang w:val="en"/>
        </w:rPr>
        <w:t>Length: 366.00mm</w:t>
      </w:r>
    </w:p>
    <w:p w:rsidR="002B4B22" w:rsidRPr="00B15682" w:rsidRDefault="004A273E">
      <w:pPr>
        <w:spacing w:after="0" w:line="240" w:lineRule="auto"/>
        <w:rPr>
          <w:rFonts w:asciiTheme="minorHAnsi" w:hAnsiTheme="minorHAnsi" w:cs="Arial"/>
          <w:sz w:val="24"/>
          <w:szCs w:val="24"/>
          <w:lang w:val="en"/>
        </w:rPr>
      </w:pPr>
      <w:r w:rsidRPr="00B15682">
        <w:rPr>
          <w:rFonts w:asciiTheme="minorHAnsi" w:hAnsiTheme="minorHAnsi" w:cs="Arial"/>
          <w:sz w:val="24"/>
          <w:szCs w:val="24"/>
          <w:lang w:val="en"/>
        </w:rPr>
        <w:t>Depth: 113.00mm</w:t>
      </w:r>
    </w:p>
    <w:p w:rsidR="002B4B22" w:rsidRPr="00B15682" w:rsidRDefault="004A273E">
      <w:pPr>
        <w:spacing w:after="0" w:line="240" w:lineRule="auto"/>
        <w:rPr>
          <w:rFonts w:asciiTheme="minorHAnsi" w:hAnsiTheme="minorHAnsi" w:cs="Arial"/>
          <w:sz w:val="24"/>
          <w:szCs w:val="24"/>
          <w:lang w:val="en"/>
        </w:rPr>
      </w:pPr>
      <w:r w:rsidRPr="00B15682">
        <w:rPr>
          <w:rFonts w:asciiTheme="minorHAnsi" w:hAnsiTheme="minorHAnsi" w:cs="Arial"/>
          <w:sz w:val="24"/>
          <w:szCs w:val="24"/>
          <w:lang w:val="en"/>
        </w:rPr>
        <w:t xml:space="preserve">Mass: 14 kg. </w:t>
      </w:r>
    </w:p>
    <w:p w:rsidR="002B4B22" w:rsidRPr="00B15682" w:rsidRDefault="004A273E">
      <w:pPr>
        <w:spacing w:after="0" w:line="240" w:lineRule="auto"/>
        <w:rPr>
          <w:rFonts w:asciiTheme="minorHAnsi" w:hAnsiTheme="minorHAnsi" w:cs="Arial"/>
          <w:sz w:val="24"/>
          <w:szCs w:val="24"/>
          <w:lang w:val="en"/>
        </w:rPr>
      </w:pPr>
      <w:r w:rsidRPr="00B15682">
        <w:rPr>
          <w:rFonts w:asciiTheme="minorHAnsi" w:hAnsiTheme="minorHAnsi" w:cs="Arial"/>
          <w:sz w:val="24"/>
          <w:szCs w:val="24"/>
          <w:lang w:val="en"/>
        </w:rPr>
        <w:t>The outer chassis will bear</w:t>
      </w:r>
      <w:r w:rsidRPr="00B15682">
        <w:rPr>
          <w:rFonts w:asciiTheme="minorHAnsi" w:hAnsiTheme="minorHAnsi" w:cs="Arial"/>
          <w:color w:val="FF3333"/>
          <w:sz w:val="24"/>
          <w:szCs w:val="24"/>
          <w:lang w:val="en"/>
        </w:rPr>
        <w:t xml:space="preserve"> </w:t>
      </w:r>
      <w:r w:rsidRPr="00B15682">
        <w:rPr>
          <w:rFonts w:asciiTheme="minorHAnsi" w:hAnsiTheme="minorHAnsi" w:cs="Arial"/>
          <w:sz w:val="24"/>
          <w:szCs w:val="24"/>
          <w:lang w:val="en"/>
        </w:rPr>
        <w:t xml:space="preserve">a significant portion of the design loads and will be modeled in a finite element analysis to prove structural integrity. </w:t>
      </w:r>
    </w:p>
    <w:p w:rsidR="002B4B22" w:rsidRPr="00B15682" w:rsidRDefault="004A273E">
      <w:pPr>
        <w:spacing w:after="0" w:line="240" w:lineRule="auto"/>
        <w:rPr>
          <w:rFonts w:asciiTheme="minorHAnsi" w:hAnsiTheme="minorHAnsi" w:cs="Arial"/>
          <w:sz w:val="24"/>
          <w:szCs w:val="24"/>
          <w:lang w:val="en"/>
        </w:rPr>
      </w:pPr>
      <w:r w:rsidRPr="00B15682">
        <w:rPr>
          <w:rFonts w:asciiTheme="minorHAnsi" w:hAnsiTheme="minorHAnsi" w:cs="Arial"/>
          <w:sz w:val="24"/>
          <w:szCs w:val="24"/>
          <w:lang w:val="en"/>
        </w:rPr>
        <w:t xml:space="preserve">The Alpha CubeSat chassis outer mold line dimensions and mass follow the SLS Payload constraints. </w:t>
      </w:r>
    </w:p>
    <w:p w:rsidR="002B4B22" w:rsidRPr="00B15682" w:rsidRDefault="002B4B22">
      <w:pPr>
        <w:spacing w:after="0" w:line="240" w:lineRule="auto"/>
        <w:rPr>
          <w:rFonts w:asciiTheme="minorHAnsi" w:hAnsiTheme="minorHAnsi" w:cs="Arial"/>
          <w:sz w:val="24"/>
          <w:szCs w:val="24"/>
          <w:lang w:val="en"/>
        </w:rPr>
      </w:pPr>
    </w:p>
    <w:p w:rsidR="002B4B22" w:rsidRPr="00B15682" w:rsidRDefault="004A273E">
      <w:pPr>
        <w:spacing w:after="0" w:line="240" w:lineRule="auto"/>
        <w:rPr>
          <w:rFonts w:asciiTheme="minorHAnsi" w:hAnsiTheme="minorHAnsi"/>
          <w:sz w:val="24"/>
          <w:szCs w:val="24"/>
          <w:u w:val="single"/>
        </w:rPr>
      </w:pPr>
      <w:r w:rsidRPr="00B15682">
        <w:rPr>
          <w:rFonts w:asciiTheme="minorHAnsi" w:hAnsiTheme="minorHAnsi"/>
          <w:sz w:val="24"/>
          <w:szCs w:val="24"/>
          <w:u w:val="single"/>
        </w:rPr>
        <w:t>Alpha CubeSat chassis outer dimensions and mass properties:</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Width: 239.00mm</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Length: 366.00mm</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Depth: 98.00mm</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Maximum Mass: 1 kg </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Internal Volume: 6,302 cubic centimeters</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The internal volume was calculated assuming similar chassis thickness (approximately 17 mm) as Pumpkin CubeSat products. For example, the Pumpkin 6U CubeSat (SUPERNOVA-Rev00_20140925.doc) states outer length of their spacecraft as 365 mm and inner dimension as 329.2 mm bringing the internal volume to 7000 cc.  ACS internal volume is 9.2% smaller due to less depth as a result of folded solar panels. </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sz w:val="24"/>
          <w:szCs w:val="24"/>
          <w:u w:val="single"/>
        </w:rPr>
      </w:pPr>
      <w:r w:rsidRPr="00B15682">
        <w:rPr>
          <w:rFonts w:asciiTheme="minorHAnsi" w:hAnsiTheme="minorHAnsi"/>
          <w:sz w:val="24"/>
          <w:szCs w:val="24"/>
          <w:u w:val="single"/>
        </w:rPr>
        <w:t>ACS Inner dimensions:</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Width: 206 mm</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Length: 329 mm</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Depth: 93 mm</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These body outer and inner mold line dimensions do not include </w:t>
      </w:r>
      <w:proofErr w:type="spellStart"/>
      <w:r w:rsidRPr="00B15682">
        <w:rPr>
          <w:rFonts w:asciiTheme="minorHAnsi" w:hAnsiTheme="minorHAnsi"/>
          <w:sz w:val="24"/>
          <w:szCs w:val="24"/>
        </w:rPr>
        <w:t>deployables</w:t>
      </w:r>
      <w:proofErr w:type="spellEnd"/>
      <w:r w:rsidRPr="00B15682">
        <w:rPr>
          <w:rFonts w:asciiTheme="minorHAnsi" w:hAnsiTheme="minorHAnsi"/>
          <w:sz w:val="24"/>
          <w:szCs w:val="24"/>
        </w:rPr>
        <w:t xml:space="preserve"> in their stowed configuration such as the solar panels (each panel is 2.5mm thick per </w:t>
      </w:r>
      <w:proofErr w:type="spellStart"/>
      <w:r w:rsidRPr="00B15682">
        <w:rPr>
          <w:rFonts w:asciiTheme="minorHAnsi" w:hAnsiTheme="minorHAnsi"/>
          <w:sz w:val="24"/>
          <w:szCs w:val="24"/>
        </w:rPr>
        <w:t>ClydeSpace</w:t>
      </w:r>
      <w:proofErr w:type="spellEnd"/>
      <w:r w:rsidRPr="00B15682">
        <w:rPr>
          <w:rFonts w:asciiTheme="minorHAnsi" w:hAnsiTheme="minorHAnsi"/>
          <w:sz w:val="24"/>
          <w:szCs w:val="24"/>
        </w:rPr>
        <w:t xml:space="preserve"> information) and antenna. </w:t>
      </w:r>
      <w:r w:rsidR="00351FCE" w:rsidRPr="00B15682">
        <w:rPr>
          <w:rFonts w:asciiTheme="minorHAnsi" w:hAnsiTheme="minorHAnsi"/>
          <w:sz w:val="24"/>
          <w:szCs w:val="24"/>
        </w:rPr>
        <w:t xml:space="preserve">The plan is to use three 6U sized panels from </w:t>
      </w:r>
      <w:proofErr w:type="spellStart"/>
      <w:r w:rsidR="00351FCE" w:rsidRPr="00B15682">
        <w:rPr>
          <w:rFonts w:asciiTheme="minorHAnsi" w:hAnsiTheme="minorHAnsi"/>
          <w:sz w:val="24"/>
          <w:szCs w:val="24"/>
        </w:rPr>
        <w:t>ClydeSpace</w:t>
      </w:r>
      <w:proofErr w:type="spellEnd"/>
      <w:r w:rsidR="00351FCE" w:rsidRPr="00B15682">
        <w:rPr>
          <w:rFonts w:asciiTheme="minorHAnsi" w:hAnsiTheme="minorHAnsi"/>
          <w:sz w:val="24"/>
          <w:szCs w:val="24"/>
        </w:rPr>
        <w:t xml:space="preserve"> per solar panel array totaling six </w:t>
      </w:r>
      <w:proofErr w:type="gramStart"/>
      <w:r w:rsidR="00351FCE" w:rsidRPr="00B15682">
        <w:rPr>
          <w:rFonts w:asciiTheme="minorHAnsi" w:hAnsiTheme="minorHAnsi"/>
          <w:sz w:val="24"/>
          <w:szCs w:val="24"/>
        </w:rPr>
        <w:t>panels</w:t>
      </w:r>
      <w:proofErr w:type="gramEnd"/>
      <w:r w:rsidR="00351FCE" w:rsidRPr="00B15682">
        <w:rPr>
          <w:rFonts w:asciiTheme="minorHAnsi" w:hAnsiTheme="minorHAnsi"/>
          <w:sz w:val="24"/>
          <w:szCs w:val="24"/>
        </w:rPr>
        <w:t xml:space="preserve"> total. </w:t>
      </w:r>
      <w:r w:rsidRPr="00B15682">
        <w:rPr>
          <w:rFonts w:asciiTheme="minorHAnsi" w:hAnsiTheme="minorHAnsi"/>
          <w:sz w:val="24"/>
          <w:szCs w:val="24"/>
        </w:rPr>
        <w:t xml:space="preserve">With trifold panels, the solar panels in their stowed configuration are expected to be 7.5mm thick in a triple stack and will be faced against the two 2Ux3U faces of the 6U body. </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lastRenderedPageBreak/>
        <w:t xml:space="preserve">The Alpha CubeSat outer stowed dimensions including all </w:t>
      </w:r>
      <w:proofErr w:type="spellStart"/>
      <w:r w:rsidRPr="00B15682">
        <w:rPr>
          <w:rFonts w:asciiTheme="minorHAnsi" w:hAnsiTheme="minorHAnsi"/>
          <w:sz w:val="24"/>
          <w:szCs w:val="24"/>
        </w:rPr>
        <w:t>deployables</w:t>
      </w:r>
      <w:proofErr w:type="spellEnd"/>
      <w:r w:rsidRPr="00B15682">
        <w:rPr>
          <w:rFonts w:asciiTheme="minorHAnsi" w:hAnsiTheme="minorHAnsi"/>
          <w:sz w:val="24"/>
          <w:szCs w:val="24"/>
        </w:rPr>
        <w:t xml:space="preserve"> vary from the chassis outer dimensions by 15 mm (symbolizing the 7.5mm thick folded solar panels on either side of the spacecraft) in the depth dimension bringing the Depth to 113.00 mm total. The solar panel mass will not exceed 2.346 kg</w:t>
      </w:r>
      <w:r w:rsidR="00351FCE" w:rsidRPr="00B15682">
        <w:rPr>
          <w:rFonts w:asciiTheme="minorHAnsi" w:hAnsiTheme="minorHAnsi"/>
          <w:sz w:val="24"/>
          <w:szCs w:val="24"/>
        </w:rPr>
        <w:t xml:space="preserve"> taking into account a 15% structural mass reserve</w:t>
      </w:r>
      <w:r w:rsidRPr="00B15682">
        <w:rPr>
          <w:rFonts w:asciiTheme="minorHAnsi" w:hAnsiTheme="minorHAnsi"/>
          <w:sz w:val="24"/>
          <w:szCs w:val="24"/>
        </w:rPr>
        <w:t>.</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The center of mass envelope is defined in the table below from the </w:t>
      </w:r>
      <w:proofErr w:type="spellStart"/>
      <w:r w:rsidRPr="00B15682">
        <w:rPr>
          <w:rFonts w:asciiTheme="minorHAnsi" w:hAnsiTheme="minorHAnsi"/>
          <w:sz w:val="24"/>
          <w:szCs w:val="24"/>
        </w:rPr>
        <w:t>CubeQuest</w:t>
      </w:r>
      <w:proofErr w:type="spellEnd"/>
      <w:r w:rsidRPr="00B15682">
        <w:rPr>
          <w:rFonts w:asciiTheme="minorHAnsi" w:hAnsiTheme="minorHAnsi"/>
          <w:sz w:val="24"/>
          <w:szCs w:val="24"/>
        </w:rPr>
        <w:t xml:space="preserve"> Challenge requirements:</w:t>
      </w:r>
    </w:p>
    <w:p w:rsidR="002B4B22" w:rsidRPr="00B15682" w:rsidRDefault="002B4B22">
      <w:pPr>
        <w:spacing w:after="0" w:line="240" w:lineRule="auto"/>
        <w:rPr>
          <w:rFonts w:asciiTheme="minorHAnsi" w:hAnsiTheme="minorHAnsi"/>
          <w:sz w:val="24"/>
          <w:szCs w:val="24"/>
        </w:rPr>
      </w:pPr>
    </w:p>
    <w:tbl>
      <w:tblPr>
        <w:tblW w:w="655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772"/>
        <w:gridCol w:w="1028"/>
        <w:gridCol w:w="1368"/>
        <w:gridCol w:w="1384"/>
      </w:tblGrid>
      <w:tr w:rsidR="002B4B22" w:rsidRPr="00B15682">
        <w:trPr>
          <w:jc w:val="center"/>
        </w:trPr>
        <w:tc>
          <w:tcPr>
            <w:tcW w:w="2771" w:type="dxa"/>
            <w:vMerge w:val="restart"/>
            <w:tcBorders>
              <w:top w:val="single" w:sz="4" w:space="0" w:color="00000A"/>
              <w:left w:val="single" w:sz="4" w:space="0" w:color="00000A"/>
              <w:bottom w:val="single" w:sz="4" w:space="0" w:color="00000A"/>
              <w:right w:val="single" w:sz="4" w:space="0" w:color="00000A"/>
            </w:tcBorders>
            <w:shd w:val="clear" w:color="auto" w:fill="C6D9F1"/>
            <w:tcMar>
              <w:left w:w="108" w:type="dxa"/>
            </w:tcMar>
            <w:vAlign w:val="center"/>
          </w:tcPr>
          <w:p w:rsidR="002B4B22" w:rsidRPr="00B15682" w:rsidRDefault="004A273E">
            <w:pPr>
              <w:pStyle w:val="TableText1"/>
              <w:jc w:val="center"/>
              <w:rPr>
                <w:rFonts w:asciiTheme="minorHAnsi" w:hAnsiTheme="minorHAnsi"/>
                <w:b/>
                <w:bCs/>
                <w:sz w:val="24"/>
                <w:szCs w:val="24"/>
              </w:rPr>
            </w:pPr>
            <w:r w:rsidRPr="00B15682">
              <w:rPr>
                <w:rFonts w:asciiTheme="minorHAnsi" w:hAnsiTheme="minorHAnsi"/>
                <w:b/>
                <w:bCs/>
                <w:sz w:val="24"/>
                <w:szCs w:val="24"/>
              </w:rPr>
              <w:t>Parameters</w:t>
            </w:r>
          </w:p>
        </w:tc>
        <w:tc>
          <w:tcPr>
            <w:tcW w:w="1028" w:type="dxa"/>
            <w:vMerge w:val="restart"/>
            <w:tcBorders>
              <w:top w:val="single" w:sz="4" w:space="0" w:color="00000A"/>
              <w:left w:val="single" w:sz="4" w:space="0" w:color="00000A"/>
              <w:bottom w:val="single" w:sz="4" w:space="0" w:color="00000A"/>
              <w:right w:val="single" w:sz="4" w:space="0" w:color="00000A"/>
            </w:tcBorders>
            <w:shd w:val="clear" w:color="auto" w:fill="C6D9F1"/>
            <w:tcMar>
              <w:left w:w="108" w:type="dxa"/>
            </w:tcMar>
            <w:vAlign w:val="center"/>
          </w:tcPr>
          <w:p w:rsidR="002B4B22" w:rsidRPr="00B15682" w:rsidRDefault="004A273E">
            <w:pPr>
              <w:pStyle w:val="TableText1"/>
              <w:jc w:val="center"/>
              <w:rPr>
                <w:rFonts w:asciiTheme="minorHAnsi" w:hAnsiTheme="minorHAnsi"/>
                <w:b/>
                <w:bCs/>
                <w:sz w:val="24"/>
                <w:szCs w:val="24"/>
              </w:rPr>
            </w:pPr>
            <w:r w:rsidRPr="00B15682">
              <w:rPr>
                <w:rFonts w:asciiTheme="minorHAnsi" w:hAnsiTheme="minorHAnsi"/>
                <w:b/>
                <w:bCs/>
                <w:sz w:val="24"/>
                <w:szCs w:val="24"/>
              </w:rPr>
              <w:t>Units</w:t>
            </w:r>
          </w:p>
        </w:tc>
        <w:tc>
          <w:tcPr>
            <w:tcW w:w="2752" w:type="dxa"/>
            <w:gridSpan w:val="2"/>
            <w:tcBorders>
              <w:top w:val="single" w:sz="4" w:space="0" w:color="00000A"/>
              <w:left w:val="single" w:sz="4" w:space="0" w:color="00000A"/>
              <w:bottom w:val="single" w:sz="4" w:space="0" w:color="00000A"/>
              <w:right w:val="single" w:sz="4" w:space="0" w:color="00000A"/>
            </w:tcBorders>
            <w:shd w:val="clear" w:color="auto" w:fill="C6D9F1"/>
            <w:tcMar>
              <w:left w:w="108" w:type="dxa"/>
            </w:tcMar>
            <w:vAlign w:val="center"/>
          </w:tcPr>
          <w:p w:rsidR="002B4B22" w:rsidRPr="00B15682" w:rsidRDefault="004A273E">
            <w:pPr>
              <w:pStyle w:val="TableText1"/>
              <w:jc w:val="center"/>
              <w:rPr>
                <w:rFonts w:asciiTheme="minorHAnsi" w:hAnsiTheme="minorHAnsi"/>
                <w:b/>
                <w:bCs/>
                <w:sz w:val="24"/>
                <w:szCs w:val="24"/>
              </w:rPr>
            </w:pPr>
            <w:r w:rsidRPr="00B15682">
              <w:rPr>
                <w:rFonts w:asciiTheme="minorHAnsi" w:hAnsiTheme="minorHAnsi"/>
                <w:b/>
                <w:bCs/>
                <w:sz w:val="24"/>
                <w:szCs w:val="24"/>
              </w:rPr>
              <w:t>6U</w:t>
            </w:r>
          </w:p>
        </w:tc>
      </w:tr>
      <w:tr w:rsidR="002B4B22" w:rsidRPr="00B15682">
        <w:trPr>
          <w:jc w:val="center"/>
        </w:trPr>
        <w:tc>
          <w:tcPr>
            <w:tcW w:w="2771" w:type="dxa"/>
            <w:vMerge/>
            <w:tcBorders>
              <w:top w:val="single" w:sz="4" w:space="0" w:color="00000A"/>
              <w:left w:val="single" w:sz="4" w:space="0" w:color="00000A"/>
              <w:bottom w:val="single" w:sz="4" w:space="0" w:color="00000A"/>
              <w:right w:val="single" w:sz="4" w:space="0" w:color="00000A"/>
            </w:tcBorders>
            <w:shd w:val="clear" w:color="auto" w:fill="C6D9F1"/>
            <w:tcMar>
              <w:left w:w="108" w:type="dxa"/>
            </w:tcMar>
            <w:vAlign w:val="center"/>
          </w:tcPr>
          <w:p w:rsidR="002B4B22" w:rsidRPr="00B15682" w:rsidRDefault="002B4B22">
            <w:pPr>
              <w:pStyle w:val="TableText1"/>
              <w:jc w:val="center"/>
              <w:rPr>
                <w:rFonts w:asciiTheme="minorHAnsi" w:hAnsiTheme="minorHAnsi"/>
                <w:b/>
                <w:bCs/>
                <w:sz w:val="24"/>
                <w:szCs w:val="24"/>
              </w:rPr>
            </w:pPr>
          </w:p>
        </w:tc>
        <w:tc>
          <w:tcPr>
            <w:tcW w:w="1028" w:type="dxa"/>
            <w:vMerge/>
            <w:tcBorders>
              <w:top w:val="single" w:sz="4" w:space="0" w:color="00000A"/>
              <w:left w:val="single" w:sz="4" w:space="0" w:color="00000A"/>
              <w:bottom w:val="single" w:sz="4" w:space="0" w:color="00000A"/>
              <w:right w:val="single" w:sz="4" w:space="0" w:color="00000A"/>
            </w:tcBorders>
            <w:shd w:val="clear" w:color="auto" w:fill="C6D9F1"/>
            <w:tcMar>
              <w:left w:w="108" w:type="dxa"/>
            </w:tcMar>
            <w:vAlign w:val="center"/>
          </w:tcPr>
          <w:p w:rsidR="002B4B22" w:rsidRPr="00B15682" w:rsidRDefault="002B4B22">
            <w:pPr>
              <w:pStyle w:val="TableText1"/>
              <w:jc w:val="center"/>
              <w:rPr>
                <w:rFonts w:asciiTheme="minorHAnsi" w:hAnsiTheme="minorHAnsi"/>
                <w:b/>
                <w:bCs/>
                <w:sz w:val="24"/>
                <w:szCs w:val="24"/>
              </w:rPr>
            </w:pPr>
          </w:p>
        </w:tc>
        <w:tc>
          <w:tcPr>
            <w:tcW w:w="1368" w:type="dxa"/>
            <w:tcBorders>
              <w:top w:val="single" w:sz="4" w:space="0" w:color="00000A"/>
              <w:left w:val="single" w:sz="4" w:space="0" w:color="00000A"/>
              <w:bottom w:val="single" w:sz="4" w:space="0" w:color="00000A"/>
              <w:right w:val="single" w:sz="4" w:space="0" w:color="00000A"/>
            </w:tcBorders>
            <w:shd w:val="clear" w:color="auto" w:fill="C6D9F1"/>
            <w:tcMar>
              <w:left w:w="108" w:type="dxa"/>
            </w:tcMar>
            <w:vAlign w:val="center"/>
          </w:tcPr>
          <w:p w:rsidR="002B4B22" w:rsidRPr="00B15682" w:rsidRDefault="004A273E">
            <w:pPr>
              <w:pStyle w:val="TableText1"/>
              <w:jc w:val="center"/>
              <w:rPr>
                <w:rFonts w:asciiTheme="minorHAnsi" w:hAnsiTheme="minorHAnsi"/>
                <w:b/>
                <w:bCs/>
                <w:sz w:val="24"/>
                <w:szCs w:val="24"/>
              </w:rPr>
            </w:pPr>
            <w:r w:rsidRPr="00B15682">
              <w:rPr>
                <w:rFonts w:asciiTheme="minorHAnsi" w:hAnsiTheme="minorHAnsi"/>
                <w:b/>
                <w:bCs/>
                <w:sz w:val="24"/>
                <w:szCs w:val="24"/>
              </w:rPr>
              <w:t>Min.</w:t>
            </w:r>
          </w:p>
        </w:tc>
        <w:tc>
          <w:tcPr>
            <w:tcW w:w="1384" w:type="dxa"/>
            <w:tcBorders>
              <w:top w:val="single" w:sz="4" w:space="0" w:color="00000A"/>
              <w:left w:val="single" w:sz="4" w:space="0" w:color="00000A"/>
              <w:bottom w:val="single" w:sz="4" w:space="0" w:color="00000A"/>
              <w:right w:val="single" w:sz="4" w:space="0" w:color="00000A"/>
            </w:tcBorders>
            <w:shd w:val="clear" w:color="auto" w:fill="C6D9F1"/>
            <w:tcMar>
              <w:left w:w="108" w:type="dxa"/>
            </w:tcMar>
            <w:vAlign w:val="center"/>
          </w:tcPr>
          <w:p w:rsidR="002B4B22" w:rsidRPr="00B15682" w:rsidRDefault="004A273E">
            <w:pPr>
              <w:pStyle w:val="TableText1"/>
              <w:jc w:val="center"/>
              <w:rPr>
                <w:rFonts w:asciiTheme="minorHAnsi" w:hAnsiTheme="minorHAnsi"/>
                <w:b/>
                <w:bCs/>
                <w:sz w:val="24"/>
                <w:szCs w:val="24"/>
              </w:rPr>
            </w:pPr>
            <w:r w:rsidRPr="00B15682">
              <w:rPr>
                <w:rFonts w:asciiTheme="minorHAnsi" w:hAnsiTheme="minorHAnsi"/>
                <w:b/>
                <w:bCs/>
                <w:sz w:val="24"/>
                <w:szCs w:val="24"/>
              </w:rPr>
              <w:t>Max.</w:t>
            </w:r>
          </w:p>
        </w:tc>
      </w:tr>
      <w:tr w:rsidR="002B4B22" w:rsidRPr="00B15682">
        <w:trPr>
          <w:trHeight w:val="602"/>
          <w:jc w:val="center"/>
        </w:trPr>
        <w:tc>
          <w:tcPr>
            <w:tcW w:w="277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b/>
                <w:bCs/>
                <w:sz w:val="24"/>
                <w:szCs w:val="24"/>
              </w:rPr>
            </w:pPr>
            <w:r w:rsidRPr="00B15682">
              <w:rPr>
                <w:rFonts w:asciiTheme="minorHAnsi" w:hAnsiTheme="minorHAnsi"/>
                <w:b/>
                <w:bCs/>
                <w:sz w:val="24"/>
                <w:szCs w:val="24"/>
              </w:rPr>
              <w:t>Center of Mass, X</w:t>
            </w:r>
          </w:p>
        </w:tc>
        <w:tc>
          <w:tcPr>
            <w:tcW w:w="102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sz w:val="24"/>
                <w:szCs w:val="24"/>
              </w:rPr>
            </w:pPr>
            <w:r w:rsidRPr="00B15682">
              <w:rPr>
                <w:rFonts w:asciiTheme="minorHAnsi" w:hAnsiTheme="minorHAnsi"/>
                <w:sz w:val="24"/>
                <w:szCs w:val="24"/>
              </w:rPr>
              <w:t>in.</w:t>
            </w:r>
            <w:r w:rsidRPr="00B15682">
              <w:rPr>
                <w:rFonts w:asciiTheme="minorHAnsi" w:hAnsiTheme="minorHAnsi"/>
                <w:sz w:val="24"/>
                <w:szCs w:val="24"/>
              </w:rPr>
              <w:br/>
              <w:t>(mm)</w:t>
            </w:r>
          </w:p>
        </w:tc>
        <w:tc>
          <w:tcPr>
            <w:tcW w:w="136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sz w:val="24"/>
                <w:szCs w:val="24"/>
              </w:rPr>
            </w:pPr>
            <w:r w:rsidRPr="00B15682">
              <w:rPr>
                <w:rFonts w:asciiTheme="minorHAnsi" w:hAnsiTheme="minorHAnsi"/>
                <w:sz w:val="24"/>
                <w:szCs w:val="24"/>
              </w:rPr>
              <w:t>-1.57</w:t>
            </w:r>
            <w:r w:rsidRPr="00B15682">
              <w:rPr>
                <w:rFonts w:asciiTheme="minorHAnsi" w:hAnsiTheme="minorHAnsi"/>
                <w:sz w:val="24"/>
                <w:szCs w:val="24"/>
              </w:rPr>
              <w:br/>
              <w:t>(-40)</w:t>
            </w:r>
          </w:p>
        </w:tc>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sz w:val="24"/>
                <w:szCs w:val="24"/>
              </w:rPr>
            </w:pPr>
            <w:r w:rsidRPr="00B15682">
              <w:rPr>
                <w:rFonts w:asciiTheme="minorHAnsi" w:hAnsiTheme="minorHAnsi"/>
                <w:sz w:val="24"/>
                <w:szCs w:val="24"/>
              </w:rPr>
              <w:t>+1.57</w:t>
            </w:r>
            <w:r w:rsidRPr="00B15682">
              <w:rPr>
                <w:rFonts w:asciiTheme="minorHAnsi" w:hAnsiTheme="minorHAnsi"/>
                <w:sz w:val="24"/>
                <w:szCs w:val="24"/>
              </w:rPr>
              <w:br/>
              <w:t>(+40)</w:t>
            </w:r>
          </w:p>
        </w:tc>
      </w:tr>
      <w:tr w:rsidR="002B4B22" w:rsidRPr="00B15682">
        <w:trPr>
          <w:trHeight w:val="620"/>
          <w:jc w:val="center"/>
        </w:trPr>
        <w:tc>
          <w:tcPr>
            <w:tcW w:w="277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b/>
                <w:bCs/>
                <w:sz w:val="24"/>
                <w:szCs w:val="24"/>
              </w:rPr>
            </w:pPr>
            <w:r w:rsidRPr="00B15682">
              <w:rPr>
                <w:rFonts w:asciiTheme="minorHAnsi" w:hAnsiTheme="minorHAnsi"/>
                <w:b/>
                <w:bCs/>
                <w:sz w:val="24"/>
                <w:szCs w:val="24"/>
              </w:rPr>
              <w:t>Center of Mass Y</w:t>
            </w:r>
          </w:p>
        </w:tc>
        <w:tc>
          <w:tcPr>
            <w:tcW w:w="102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sz w:val="24"/>
                <w:szCs w:val="24"/>
              </w:rPr>
            </w:pPr>
            <w:r w:rsidRPr="00B15682">
              <w:rPr>
                <w:rFonts w:asciiTheme="minorHAnsi" w:hAnsiTheme="minorHAnsi"/>
                <w:sz w:val="24"/>
                <w:szCs w:val="24"/>
              </w:rPr>
              <w:t>in.</w:t>
            </w:r>
            <w:r w:rsidRPr="00B15682">
              <w:rPr>
                <w:rFonts w:asciiTheme="minorHAnsi" w:hAnsiTheme="minorHAnsi"/>
                <w:sz w:val="24"/>
                <w:szCs w:val="24"/>
              </w:rPr>
              <w:br/>
              <w:t>(mm)</w:t>
            </w:r>
          </w:p>
        </w:tc>
        <w:tc>
          <w:tcPr>
            <w:tcW w:w="136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sz w:val="24"/>
                <w:szCs w:val="24"/>
              </w:rPr>
            </w:pPr>
            <w:r w:rsidRPr="00B15682">
              <w:rPr>
                <w:rFonts w:asciiTheme="minorHAnsi" w:hAnsiTheme="minorHAnsi"/>
                <w:sz w:val="24"/>
                <w:szCs w:val="24"/>
              </w:rPr>
              <w:t>+0.39</w:t>
            </w:r>
            <w:r w:rsidRPr="00B15682">
              <w:rPr>
                <w:rFonts w:asciiTheme="minorHAnsi" w:hAnsiTheme="minorHAnsi"/>
                <w:sz w:val="24"/>
                <w:szCs w:val="24"/>
              </w:rPr>
              <w:br/>
              <w:t>(+10)</w:t>
            </w:r>
          </w:p>
        </w:tc>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sz w:val="24"/>
                <w:szCs w:val="24"/>
              </w:rPr>
            </w:pPr>
            <w:r w:rsidRPr="00B15682">
              <w:rPr>
                <w:rFonts w:asciiTheme="minorHAnsi" w:hAnsiTheme="minorHAnsi"/>
                <w:sz w:val="24"/>
                <w:szCs w:val="24"/>
              </w:rPr>
              <w:t>+2.76</w:t>
            </w:r>
            <w:r w:rsidRPr="00B15682">
              <w:rPr>
                <w:rFonts w:asciiTheme="minorHAnsi" w:hAnsiTheme="minorHAnsi"/>
                <w:sz w:val="24"/>
                <w:szCs w:val="24"/>
              </w:rPr>
              <w:br/>
              <w:t>(+70)</w:t>
            </w:r>
          </w:p>
        </w:tc>
      </w:tr>
      <w:tr w:rsidR="002B4B22" w:rsidRPr="00B15682">
        <w:trPr>
          <w:trHeight w:val="683"/>
          <w:jc w:val="center"/>
        </w:trPr>
        <w:tc>
          <w:tcPr>
            <w:tcW w:w="277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b/>
                <w:bCs/>
                <w:sz w:val="24"/>
                <w:szCs w:val="24"/>
              </w:rPr>
            </w:pPr>
            <w:r w:rsidRPr="00B15682">
              <w:rPr>
                <w:rFonts w:asciiTheme="minorHAnsi" w:hAnsiTheme="minorHAnsi"/>
                <w:b/>
                <w:bCs/>
                <w:sz w:val="24"/>
                <w:szCs w:val="24"/>
              </w:rPr>
              <w:t>Center of Mass Z</w:t>
            </w:r>
          </w:p>
        </w:tc>
        <w:tc>
          <w:tcPr>
            <w:tcW w:w="102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sz w:val="24"/>
                <w:szCs w:val="24"/>
              </w:rPr>
            </w:pPr>
            <w:r w:rsidRPr="00B15682">
              <w:rPr>
                <w:rFonts w:asciiTheme="minorHAnsi" w:hAnsiTheme="minorHAnsi"/>
                <w:sz w:val="24"/>
                <w:szCs w:val="24"/>
              </w:rPr>
              <w:t>in.</w:t>
            </w:r>
            <w:r w:rsidRPr="00B15682">
              <w:rPr>
                <w:rFonts w:asciiTheme="minorHAnsi" w:hAnsiTheme="minorHAnsi"/>
                <w:sz w:val="24"/>
                <w:szCs w:val="24"/>
              </w:rPr>
              <w:br/>
              <w:t>(mm)</w:t>
            </w:r>
          </w:p>
        </w:tc>
        <w:tc>
          <w:tcPr>
            <w:tcW w:w="136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sz w:val="24"/>
                <w:szCs w:val="24"/>
              </w:rPr>
            </w:pPr>
            <w:r w:rsidRPr="00B15682">
              <w:rPr>
                <w:rFonts w:asciiTheme="minorHAnsi" w:hAnsiTheme="minorHAnsi"/>
                <w:sz w:val="24"/>
                <w:szCs w:val="24"/>
              </w:rPr>
              <w:t>+5.24</w:t>
            </w:r>
            <w:r w:rsidRPr="00B15682">
              <w:rPr>
                <w:rFonts w:asciiTheme="minorHAnsi" w:hAnsiTheme="minorHAnsi"/>
                <w:sz w:val="24"/>
                <w:szCs w:val="24"/>
              </w:rPr>
              <w:br/>
              <w:t>(+133)</w:t>
            </w:r>
          </w:p>
        </w:tc>
        <w:tc>
          <w:tcPr>
            <w:tcW w:w="1384"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2B4B22" w:rsidRPr="00B15682" w:rsidRDefault="004A273E">
            <w:pPr>
              <w:pStyle w:val="TableText1"/>
              <w:jc w:val="center"/>
              <w:rPr>
                <w:rFonts w:asciiTheme="minorHAnsi" w:hAnsiTheme="minorHAnsi"/>
                <w:sz w:val="24"/>
                <w:szCs w:val="24"/>
              </w:rPr>
            </w:pPr>
            <w:r w:rsidRPr="00B15682">
              <w:rPr>
                <w:rFonts w:asciiTheme="minorHAnsi" w:hAnsiTheme="minorHAnsi"/>
                <w:sz w:val="24"/>
                <w:szCs w:val="24"/>
              </w:rPr>
              <w:t>+9.17</w:t>
            </w:r>
            <w:r w:rsidRPr="00B15682">
              <w:rPr>
                <w:rFonts w:asciiTheme="minorHAnsi" w:hAnsiTheme="minorHAnsi"/>
                <w:sz w:val="24"/>
                <w:szCs w:val="24"/>
              </w:rPr>
              <w:br/>
              <w:t>(+233)</w:t>
            </w:r>
          </w:p>
        </w:tc>
      </w:tr>
    </w:tbl>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 </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b/>
          <w:sz w:val="24"/>
          <w:szCs w:val="24"/>
        </w:rPr>
      </w:pPr>
      <w:r w:rsidRPr="00B15682">
        <w:rPr>
          <w:rFonts w:asciiTheme="minorHAnsi" w:hAnsiTheme="minorHAnsi"/>
          <w:b/>
          <w:sz w:val="24"/>
          <w:szCs w:val="24"/>
        </w:rPr>
        <w:t>Construction</w:t>
      </w:r>
    </w:p>
    <w:p w:rsidR="002B4B22" w:rsidRPr="00B15682" w:rsidRDefault="004A273E">
      <w:pPr>
        <w:rPr>
          <w:rFonts w:asciiTheme="minorHAnsi" w:hAnsiTheme="minorHAnsi" w:cs="Arial"/>
          <w:sz w:val="24"/>
          <w:szCs w:val="24"/>
          <w:lang w:val="en"/>
        </w:rPr>
      </w:pPr>
      <w:r w:rsidRPr="00B15682">
        <w:rPr>
          <w:rFonts w:asciiTheme="minorHAnsi" w:hAnsiTheme="minorHAnsi" w:cs="Arial"/>
          <w:sz w:val="24"/>
          <w:szCs w:val="24"/>
          <w:lang w:val="en"/>
        </w:rPr>
        <w:t>Two options exist for the construction of the outer chassis of the ACS. It is most economical to obtain materials as off-the-</w:t>
      </w:r>
      <w:proofErr w:type="gramStart"/>
      <w:r w:rsidRPr="00B15682">
        <w:rPr>
          <w:rFonts w:asciiTheme="minorHAnsi" w:hAnsiTheme="minorHAnsi" w:cs="Arial"/>
          <w:sz w:val="24"/>
          <w:szCs w:val="24"/>
          <w:lang w:val="en"/>
        </w:rPr>
        <w:t>shelf,</w:t>
      </w:r>
      <w:proofErr w:type="gramEnd"/>
      <w:r w:rsidRPr="00B15682">
        <w:rPr>
          <w:rFonts w:asciiTheme="minorHAnsi" w:hAnsiTheme="minorHAnsi" w:cs="Arial"/>
          <w:sz w:val="24"/>
          <w:szCs w:val="24"/>
          <w:lang w:val="en"/>
        </w:rPr>
        <w:t xml:space="preserve"> space ready </w:t>
      </w:r>
      <w:proofErr w:type="spellStart"/>
      <w:r w:rsidRPr="00B15682">
        <w:rPr>
          <w:rFonts w:asciiTheme="minorHAnsi" w:hAnsiTheme="minorHAnsi" w:cs="Arial"/>
          <w:sz w:val="24"/>
          <w:szCs w:val="24"/>
          <w:lang w:val="en"/>
        </w:rPr>
        <w:t>cubesat</w:t>
      </w:r>
      <w:proofErr w:type="spellEnd"/>
      <w:r w:rsidRPr="00B15682">
        <w:rPr>
          <w:rFonts w:asciiTheme="minorHAnsi" w:hAnsiTheme="minorHAnsi" w:cs="Arial"/>
          <w:sz w:val="24"/>
          <w:szCs w:val="24"/>
          <w:lang w:val="en"/>
        </w:rPr>
        <w:t xml:space="preserve"> pieces from Pumpkin and custom machine the pieces to fit our configuration. The materials used for the chassis will be primarily AL7071 and Al6065. </w:t>
      </w:r>
    </w:p>
    <w:p w:rsidR="002B4B22" w:rsidRPr="00B15682" w:rsidRDefault="004A273E">
      <w:pPr>
        <w:rPr>
          <w:rFonts w:asciiTheme="minorHAnsi" w:hAnsiTheme="minorHAnsi" w:cs="Arial"/>
          <w:sz w:val="24"/>
          <w:szCs w:val="24"/>
          <w:lang w:val="en"/>
        </w:rPr>
      </w:pPr>
      <w:r w:rsidRPr="00B15682">
        <w:rPr>
          <w:rFonts w:asciiTheme="minorHAnsi" w:hAnsiTheme="minorHAnsi" w:cs="Arial"/>
          <w:sz w:val="24"/>
          <w:szCs w:val="24"/>
          <w:lang w:val="en"/>
        </w:rPr>
        <w:t xml:space="preserve">It is also possible we will find a vendor motivated by demonstrating their machining technology that will 3-D print our primary structure using identical aluminum alloys as are commonly used in </w:t>
      </w:r>
      <w:proofErr w:type="spellStart"/>
      <w:r w:rsidRPr="00B15682">
        <w:rPr>
          <w:rFonts w:asciiTheme="minorHAnsi" w:hAnsiTheme="minorHAnsi" w:cs="Arial"/>
          <w:sz w:val="24"/>
          <w:szCs w:val="24"/>
          <w:lang w:val="en"/>
        </w:rPr>
        <w:t>cubesat</w:t>
      </w:r>
      <w:proofErr w:type="spellEnd"/>
      <w:r w:rsidRPr="00B15682">
        <w:rPr>
          <w:rFonts w:asciiTheme="minorHAnsi" w:hAnsiTheme="minorHAnsi" w:cs="Arial"/>
          <w:sz w:val="24"/>
          <w:szCs w:val="24"/>
          <w:lang w:val="en"/>
        </w:rPr>
        <w:t xml:space="preserve"> construction. </w:t>
      </w:r>
    </w:p>
    <w:p w:rsidR="002B4B22" w:rsidRDefault="004A273E">
      <w:pPr>
        <w:rPr>
          <w:rFonts w:asciiTheme="minorHAnsi" w:hAnsiTheme="minorHAnsi" w:cs="Arial"/>
          <w:sz w:val="24"/>
          <w:szCs w:val="24"/>
          <w:lang w:val="en"/>
        </w:rPr>
      </w:pPr>
      <w:r w:rsidRPr="00B15682">
        <w:rPr>
          <w:rFonts w:asciiTheme="minorHAnsi" w:hAnsiTheme="minorHAnsi" w:cs="Arial"/>
          <w:sz w:val="24"/>
          <w:szCs w:val="24"/>
          <w:lang w:val="en"/>
        </w:rPr>
        <w:t xml:space="preserve">The chassis of the ACS spacecraft will undergo optimization iterations to acquire the lowest mass possible. For the structural analysis, the factors of safety planned to be used are 1.1 for Yield Strength and 1.5 for Ultimate strength as taken from NASA </w:t>
      </w:r>
      <w:r w:rsidRPr="00B15682">
        <w:rPr>
          <w:rFonts w:asciiTheme="minorHAnsi" w:hAnsiTheme="minorHAnsi"/>
          <w:sz w:val="24"/>
          <w:szCs w:val="24"/>
        </w:rPr>
        <w:t>Payload Flight Equipment Requirements and Guidelines for Safety–Critical Structures</w:t>
      </w:r>
      <w:r w:rsidRPr="00B15682">
        <w:rPr>
          <w:rFonts w:asciiTheme="minorHAnsi" w:hAnsiTheme="minorHAnsi" w:cs="Arial"/>
          <w:sz w:val="24"/>
          <w:szCs w:val="24"/>
          <w:lang w:val="en"/>
        </w:rPr>
        <w:t xml:space="preserve"> (SSP 52005 Rev D) Table 5.1.2-1 Minimum Safety Factors For Payload Flight Structures Mounted to Primary and Secondary Structure.  </w:t>
      </w:r>
    </w:p>
    <w:p w:rsidR="004A273E" w:rsidRPr="004A273E" w:rsidRDefault="004A273E">
      <w:pPr>
        <w:rPr>
          <w:rFonts w:asciiTheme="minorHAnsi" w:hAnsiTheme="minorHAnsi" w:cs="Arial"/>
          <w:sz w:val="24"/>
          <w:szCs w:val="24"/>
          <w:lang w:val="en"/>
        </w:rPr>
      </w:pPr>
      <w:r w:rsidRPr="004A273E">
        <w:rPr>
          <w:rFonts w:asciiTheme="minorHAnsi" w:hAnsiTheme="minorHAnsi"/>
          <w:sz w:val="24"/>
          <w:szCs w:val="24"/>
          <w:shd w:val="clear" w:color="auto" w:fill="FFFFFF"/>
        </w:rPr>
        <w:t>The</w:t>
      </w:r>
      <w:r>
        <w:rPr>
          <w:rFonts w:asciiTheme="minorHAnsi" w:hAnsiTheme="minorHAnsi"/>
          <w:sz w:val="24"/>
          <w:szCs w:val="24"/>
          <w:shd w:val="clear" w:color="auto" w:fill="FFFFFF"/>
        </w:rPr>
        <w:t xml:space="preserve"> critical deployable mechanisms on ACS are the two solar panel arrays.</w:t>
      </w:r>
      <w:r w:rsidRPr="004A273E">
        <w:rPr>
          <w:rFonts w:asciiTheme="minorHAnsi" w:hAnsiTheme="minorHAnsi"/>
          <w:sz w:val="24"/>
          <w:szCs w:val="24"/>
          <w:shd w:val="clear" w:color="auto" w:fill="FFFFFF"/>
        </w:rPr>
        <w:t xml:space="preserve"> </w:t>
      </w:r>
      <w:r>
        <w:rPr>
          <w:rFonts w:asciiTheme="minorHAnsi" w:hAnsiTheme="minorHAnsi"/>
          <w:sz w:val="24"/>
          <w:szCs w:val="24"/>
          <w:shd w:val="clear" w:color="auto" w:fill="FFFFFF"/>
        </w:rPr>
        <w:t>A</w:t>
      </w:r>
      <w:r w:rsidRPr="004A273E">
        <w:rPr>
          <w:rFonts w:asciiTheme="minorHAnsi" w:hAnsiTheme="minorHAnsi"/>
          <w:sz w:val="24"/>
          <w:szCs w:val="24"/>
          <w:shd w:val="clear" w:color="auto" w:fill="FFFFFF"/>
        </w:rPr>
        <w:t xml:space="preserve">ttachment points for the solar panels are constructed as follows.  Each wing panel of the trifold </w:t>
      </w:r>
      <w:proofErr w:type="gramStart"/>
      <w:r w:rsidRPr="004A273E">
        <w:rPr>
          <w:rFonts w:asciiTheme="minorHAnsi" w:hAnsiTheme="minorHAnsi"/>
          <w:sz w:val="24"/>
          <w:szCs w:val="24"/>
          <w:shd w:val="clear" w:color="auto" w:fill="FFFFFF"/>
        </w:rPr>
        <w:t>are</w:t>
      </w:r>
      <w:proofErr w:type="gramEnd"/>
      <w:r w:rsidRPr="004A273E">
        <w:rPr>
          <w:rFonts w:asciiTheme="minorHAnsi" w:hAnsiTheme="minorHAnsi"/>
          <w:sz w:val="24"/>
          <w:szCs w:val="24"/>
          <w:shd w:val="clear" w:color="auto" w:fill="FFFFFF"/>
        </w:rPr>
        <w:t xml:space="preserve"> attached to the central panel by leaf-springs from tape measure strips to provide attachment and a mechanism to spring them open.  The central panel is attached to the forward face (opposite of the engine exhaust) by a wire coil spring that allows the folded trifold 90 degrees of articulation to fold the stowed panel against the </w:t>
      </w:r>
      <w:proofErr w:type="spellStart"/>
      <w:r w:rsidRPr="004A273E">
        <w:rPr>
          <w:rFonts w:asciiTheme="minorHAnsi" w:hAnsiTheme="minorHAnsi"/>
          <w:sz w:val="24"/>
          <w:szCs w:val="24"/>
          <w:shd w:val="clear" w:color="auto" w:fill="FFFFFF"/>
        </w:rPr>
        <w:t>cubesat's</w:t>
      </w:r>
      <w:proofErr w:type="spellEnd"/>
      <w:r w:rsidRPr="004A273E">
        <w:rPr>
          <w:rFonts w:asciiTheme="minorHAnsi" w:hAnsiTheme="minorHAnsi"/>
          <w:sz w:val="24"/>
          <w:szCs w:val="24"/>
          <w:shd w:val="clear" w:color="auto" w:fill="FFFFFF"/>
        </w:rPr>
        <w:t xml:space="preserve"> 6U body faces.  It also provides a mechanism to </w:t>
      </w:r>
      <w:r w:rsidRPr="004A273E">
        <w:rPr>
          <w:rFonts w:asciiTheme="minorHAnsi" w:hAnsiTheme="minorHAnsi"/>
          <w:sz w:val="24"/>
          <w:szCs w:val="24"/>
          <w:shd w:val="clear" w:color="auto" w:fill="FFFFFF"/>
        </w:rPr>
        <w:lastRenderedPageBreak/>
        <w:t>spring the arrays into their fully-deployed position and a mast attachment point from the array to the satellite body that can be articulated by rotation around the mast's axis to point the array towards the sun</w:t>
      </w:r>
    </w:p>
    <w:p w:rsidR="002B4B22" w:rsidRPr="00B15682" w:rsidRDefault="004A273E">
      <w:pPr>
        <w:rPr>
          <w:rFonts w:asciiTheme="minorHAnsi" w:hAnsiTheme="minorHAnsi" w:cs="Arial"/>
          <w:sz w:val="24"/>
          <w:szCs w:val="24"/>
          <w:lang w:val="en"/>
        </w:rPr>
      </w:pPr>
      <w:r w:rsidRPr="00B15682">
        <w:rPr>
          <w:rFonts w:asciiTheme="minorHAnsi" w:hAnsiTheme="minorHAnsi" w:cs="Arial"/>
          <w:sz w:val="24"/>
          <w:szCs w:val="24"/>
          <w:lang w:val="en"/>
        </w:rPr>
        <w:t xml:space="preserve"> The following section describes the des</w:t>
      </w:r>
      <w:r>
        <w:rPr>
          <w:rFonts w:asciiTheme="minorHAnsi" w:hAnsiTheme="minorHAnsi" w:cs="Arial"/>
          <w:sz w:val="24"/>
          <w:szCs w:val="24"/>
          <w:lang w:val="en"/>
        </w:rPr>
        <w:t xml:space="preserve">ign loads applicable to structure </w:t>
      </w:r>
      <w:r w:rsidRPr="00B15682">
        <w:rPr>
          <w:rFonts w:asciiTheme="minorHAnsi" w:hAnsiTheme="minorHAnsi" w:cs="Arial"/>
          <w:sz w:val="24"/>
          <w:szCs w:val="24"/>
          <w:lang w:val="en"/>
        </w:rPr>
        <w:t xml:space="preserve">design.   </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b/>
          <w:sz w:val="24"/>
          <w:szCs w:val="24"/>
        </w:rPr>
      </w:pPr>
      <w:r w:rsidRPr="00B15682">
        <w:rPr>
          <w:rFonts w:asciiTheme="minorHAnsi" w:hAnsiTheme="minorHAnsi"/>
          <w:b/>
          <w:sz w:val="24"/>
          <w:szCs w:val="24"/>
        </w:rPr>
        <w:t>DESIGN LOADS</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sz w:val="24"/>
          <w:szCs w:val="24"/>
          <w:u w:val="single"/>
        </w:rPr>
      </w:pPr>
      <w:r w:rsidRPr="00B15682">
        <w:rPr>
          <w:rFonts w:asciiTheme="minorHAnsi" w:hAnsiTheme="minorHAnsi"/>
          <w:sz w:val="24"/>
          <w:szCs w:val="24"/>
          <w:u w:val="single"/>
        </w:rPr>
        <w:t>Launch Loads</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The maximum structural loads on the ACS spacecraft will occur during launch. </w:t>
      </w:r>
    </w:p>
    <w:p w:rsidR="002B4B22" w:rsidRPr="00B15682" w:rsidRDefault="004A273E">
      <w:pPr>
        <w:rPr>
          <w:rFonts w:asciiTheme="minorHAnsi" w:hAnsiTheme="minorHAnsi" w:cs="Arial"/>
          <w:sz w:val="24"/>
          <w:szCs w:val="24"/>
          <w:lang w:val="en"/>
        </w:rPr>
      </w:pPr>
      <w:r w:rsidRPr="00B15682">
        <w:rPr>
          <w:rFonts w:asciiTheme="minorHAnsi" w:hAnsiTheme="minorHAnsi" w:cs="Arial"/>
          <w:sz w:val="24"/>
          <w:szCs w:val="24"/>
          <w:lang w:val="en"/>
        </w:rPr>
        <w:t xml:space="preserve">Launch vibrations have been summarized as x, y, z directional loads in </w:t>
      </w:r>
      <w:proofErr w:type="gramStart"/>
      <w:r w:rsidRPr="00B15682">
        <w:rPr>
          <w:rFonts w:asciiTheme="minorHAnsi" w:hAnsiTheme="minorHAnsi" w:cs="Arial"/>
          <w:sz w:val="24"/>
          <w:szCs w:val="24"/>
          <w:lang w:val="en"/>
        </w:rPr>
        <w:t>g’s</w:t>
      </w:r>
      <w:proofErr w:type="gramEnd"/>
      <w:r w:rsidRPr="00B15682">
        <w:rPr>
          <w:rFonts w:asciiTheme="minorHAnsi" w:hAnsiTheme="minorHAnsi" w:cs="Arial"/>
          <w:sz w:val="24"/>
          <w:szCs w:val="24"/>
          <w:lang w:val="en"/>
        </w:rPr>
        <w:t xml:space="preserve"> as seen in the table below. A finite element analysis is planned for the chassis design and the launch loads will be applied as forces on the satellite located at the contact points of the deployment mechanism and moments around the center of gravity.</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ACS will be designed to structural standards as defined in the DESIGN LOADS section of the NASA SECONDARY PAYLOAD INTERFACE DEFINITION AND REQUIREMENTS DOCUMENT (SLS-SPIE-RQMT-018).</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Table </w:t>
      </w:r>
      <w:proofErr w:type="gramStart"/>
      <w:r w:rsidRPr="00B15682">
        <w:rPr>
          <w:rFonts w:asciiTheme="minorHAnsi" w:hAnsiTheme="minorHAnsi"/>
          <w:sz w:val="24"/>
          <w:szCs w:val="24"/>
        </w:rPr>
        <w:t>3-7 Secondary Payload Component Loads Due to Random Vibration from the Secondary Payload IDRD states</w:t>
      </w:r>
      <w:proofErr w:type="gramEnd"/>
      <w:r w:rsidRPr="00B15682">
        <w:rPr>
          <w:rFonts w:asciiTheme="minorHAnsi" w:hAnsiTheme="minorHAnsi"/>
          <w:sz w:val="24"/>
          <w:szCs w:val="24"/>
        </w:rPr>
        <w:t>:</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sz w:val="24"/>
          <w:szCs w:val="24"/>
        </w:rPr>
      </w:pPr>
      <w:r w:rsidRPr="00B15682">
        <w:rPr>
          <w:rFonts w:asciiTheme="minorHAnsi" w:hAnsiTheme="minorHAnsi"/>
          <w:noProof/>
          <w:sz w:val="24"/>
          <w:szCs w:val="24"/>
        </w:rPr>
        <w:drawing>
          <wp:inline distT="0" distB="0" distL="0" distR="0" wp14:anchorId="762FC38C" wp14:editId="216DC088">
            <wp:extent cx="4314825" cy="17811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4314825" cy="1781175"/>
                    </a:xfrm>
                    <a:prstGeom prst="rect">
                      <a:avLst/>
                    </a:prstGeom>
                    <a:noFill/>
                    <a:ln w="9525">
                      <a:noFill/>
                      <a:miter lim="800000"/>
                      <a:headEnd/>
                      <a:tailEnd/>
                    </a:ln>
                  </pic:spPr>
                </pic:pic>
              </a:graphicData>
            </a:graphic>
          </wp:inline>
        </w:drawing>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The above loads are the maximum load case scenario to be experienced by ACS and correspond to attaining the SLS EM-1 launch. </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These loads will be applied to a finite element model of the ACS chassis to prove the design will have sufficient structural integrity. </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sz w:val="24"/>
          <w:szCs w:val="24"/>
          <w:u w:val="single"/>
        </w:rPr>
      </w:pPr>
      <w:r w:rsidRPr="00B15682">
        <w:rPr>
          <w:rFonts w:asciiTheme="minorHAnsi" w:hAnsiTheme="minorHAnsi"/>
          <w:sz w:val="24"/>
          <w:szCs w:val="24"/>
          <w:u w:val="single"/>
        </w:rPr>
        <w:t>Temperature Loads</w:t>
      </w:r>
    </w:p>
    <w:p w:rsidR="002B4B22" w:rsidRPr="00B15682" w:rsidRDefault="004A273E">
      <w:pPr>
        <w:spacing w:after="0" w:line="240" w:lineRule="auto"/>
        <w:rPr>
          <w:rFonts w:asciiTheme="minorHAnsi" w:hAnsiTheme="minorHAnsi"/>
          <w:sz w:val="24"/>
          <w:szCs w:val="24"/>
        </w:rPr>
      </w:pPr>
      <w:r w:rsidRPr="00B15682">
        <w:rPr>
          <w:rFonts w:asciiTheme="minorHAnsi" w:hAnsiTheme="minorHAnsi"/>
          <w:sz w:val="24"/>
          <w:szCs w:val="24"/>
        </w:rPr>
        <w:t xml:space="preserve">It is also stated in the Secondary Payload IDRD (SLS-SPIE-RQMT-018) that the thermal environment range for </w:t>
      </w:r>
      <w:proofErr w:type="spellStart"/>
      <w:r w:rsidRPr="00B15682">
        <w:rPr>
          <w:rFonts w:asciiTheme="minorHAnsi" w:hAnsiTheme="minorHAnsi"/>
          <w:sz w:val="24"/>
          <w:szCs w:val="24"/>
        </w:rPr>
        <w:t>spacecrafts</w:t>
      </w:r>
      <w:proofErr w:type="spellEnd"/>
      <w:r w:rsidRPr="00B15682">
        <w:rPr>
          <w:rFonts w:asciiTheme="minorHAnsi" w:hAnsiTheme="minorHAnsi"/>
          <w:sz w:val="24"/>
          <w:szCs w:val="24"/>
        </w:rPr>
        <w:t xml:space="preserve"> is -143 degrees F to +200 degrees F. A finite element model of the ACS structure will undergo a transient thermal analysis to simulate rapid temperature change characteristic of the extreme space environment.</w:t>
      </w:r>
    </w:p>
    <w:p w:rsidR="002B4B22" w:rsidRPr="00B15682" w:rsidRDefault="002B4B22">
      <w:pPr>
        <w:spacing w:after="0" w:line="240" w:lineRule="auto"/>
        <w:rPr>
          <w:rFonts w:asciiTheme="minorHAnsi" w:hAnsiTheme="minorHAnsi"/>
          <w:sz w:val="24"/>
          <w:szCs w:val="24"/>
        </w:rPr>
      </w:pPr>
    </w:p>
    <w:p w:rsidR="002B4B22" w:rsidRPr="00B15682" w:rsidRDefault="004A273E">
      <w:pPr>
        <w:spacing w:after="0" w:line="240" w:lineRule="auto"/>
        <w:rPr>
          <w:rFonts w:asciiTheme="minorHAnsi" w:hAnsiTheme="minorHAnsi"/>
          <w:sz w:val="24"/>
          <w:szCs w:val="24"/>
          <w:u w:val="single"/>
        </w:rPr>
      </w:pPr>
      <w:r w:rsidRPr="00B15682">
        <w:rPr>
          <w:rFonts w:asciiTheme="minorHAnsi" w:hAnsiTheme="minorHAnsi"/>
          <w:sz w:val="24"/>
          <w:szCs w:val="24"/>
          <w:u w:val="single"/>
        </w:rPr>
        <w:t>Propulsion Loads</w:t>
      </w:r>
    </w:p>
    <w:p w:rsidR="002B4B22" w:rsidRPr="00B15682" w:rsidRDefault="004A273E" w:rsidP="00351FCE">
      <w:pPr>
        <w:pStyle w:val="TextBody"/>
        <w:shd w:val="clear" w:color="auto" w:fill="FFFFFF"/>
        <w:rPr>
          <w:rFonts w:asciiTheme="minorHAnsi" w:hAnsiTheme="minorHAnsi"/>
          <w:color w:val="000000"/>
          <w:sz w:val="24"/>
          <w:szCs w:val="24"/>
        </w:rPr>
      </w:pPr>
      <w:r w:rsidRPr="00B15682">
        <w:rPr>
          <w:rFonts w:asciiTheme="minorHAnsi" w:hAnsiTheme="minorHAnsi"/>
          <w:sz w:val="24"/>
          <w:szCs w:val="24"/>
        </w:rPr>
        <w:lastRenderedPageBreak/>
        <w:t xml:space="preserve">The </w:t>
      </w:r>
      <w:r w:rsidR="00351FCE" w:rsidRPr="00B15682">
        <w:rPr>
          <w:rFonts w:asciiTheme="minorHAnsi" w:hAnsiTheme="minorHAnsi"/>
          <w:sz w:val="24"/>
          <w:szCs w:val="24"/>
        </w:rPr>
        <w:t xml:space="preserve">propulsion loads are planned to not exceed </w:t>
      </w:r>
      <w:proofErr w:type="gramStart"/>
      <w:r w:rsidR="00351FCE" w:rsidRPr="00B15682">
        <w:rPr>
          <w:rFonts w:asciiTheme="minorHAnsi" w:hAnsiTheme="minorHAnsi"/>
          <w:sz w:val="24"/>
          <w:szCs w:val="24"/>
        </w:rPr>
        <w:t>an acceleration</w:t>
      </w:r>
      <w:proofErr w:type="gramEnd"/>
      <w:r w:rsidR="00351FCE" w:rsidRPr="00B15682">
        <w:rPr>
          <w:rFonts w:asciiTheme="minorHAnsi" w:hAnsiTheme="minorHAnsi"/>
          <w:sz w:val="24"/>
          <w:szCs w:val="24"/>
        </w:rPr>
        <w:t xml:space="preserve"> higher than 1g. </w:t>
      </w:r>
      <w:r w:rsidRPr="00B15682">
        <w:rPr>
          <w:rFonts w:asciiTheme="minorHAnsi" w:hAnsiTheme="minorHAnsi"/>
          <w:color w:val="222222"/>
          <w:sz w:val="24"/>
          <w:szCs w:val="24"/>
        </w:rPr>
        <w:t xml:space="preserve">This will be accomplished by designing the HTSD propulsion system to have the appropriate limited thrust.  </w:t>
      </w:r>
      <w:r w:rsidRPr="00B15682">
        <w:rPr>
          <w:rFonts w:asciiTheme="minorHAnsi" w:hAnsiTheme="minorHAnsi"/>
          <w:color w:val="222222"/>
          <w:sz w:val="24"/>
          <w:szCs w:val="24"/>
        </w:rPr>
        <w:br/>
        <w:t>At current, at the fully-loaded mass of 14kg, the thrust maximum can be 137.2N.  This maximum thrust will have to be reduced as the vehicle expends mass in propellants and deployed payloads over the mission.</w:t>
      </w:r>
      <w:r w:rsidRPr="00B15682">
        <w:rPr>
          <w:rFonts w:asciiTheme="minorHAnsi" w:hAnsiTheme="minorHAnsi"/>
          <w:color w:val="222222"/>
          <w:sz w:val="24"/>
          <w:szCs w:val="24"/>
        </w:rPr>
        <w:br/>
        <w:t xml:space="preserve">At this time, COTS solutions for </w:t>
      </w:r>
      <w:proofErr w:type="spellStart"/>
      <w:r w:rsidRPr="00B15682">
        <w:rPr>
          <w:rFonts w:asciiTheme="minorHAnsi" w:hAnsiTheme="minorHAnsi"/>
          <w:color w:val="222222"/>
          <w:sz w:val="24"/>
          <w:szCs w:val="24"/>
        </w:rPr>
        <w:t>cubesat</w:t>
      </w:r>
      <w:proofErr w:type="spellEnd"/>
      <w:r w:rsidRPr="00B15682">
        <w:rPr>
          <w:rFonts w:asciiTheme="minorHAnsi" w:hAnsiTheme="minorHAnsi"/>
          <w:color w:val="222222"/>
          <w:sz w:val="24"/>
          <w:szCs w:val="24"/>
        </w:rPr>
        <w:t xml:space="preserve"> propulsion have demonstrated thrust that is below this maximum.  The exception is the </w:t>
      </w:r>
      <w:r w:rsidRPr="00B15682">
        <w:rPr>
          <w:rFonts w:asciiTheme="minorHAnsi" w:hAnsiTheme="minorHAnsi"/>
          <w:color w:val="000000"/>
          <w:sz w:val="24"/>
          <w:szCs w:val="24"/>
        </w:rPr>
        <w:t xml:space="preserve">N2O-40% Aluminized Paraffin Hybrid Motor that will exert 10.204gs at 14kg. </w:t>
      </w:r>
    </w:p>
    <w:p w:rsidR="002B4B22" w:rsidRPr="00B15682" w:rsidRDefault="004A273E">
      <w:pPr>
        <w:pStyle w:val="TextBody"/>
        <w:shd w:val="clear" w:color="auto" w:fill="FFFFFF"/>
        <w:rPr>
          <w:rFonts w:asciiTheme="minorHAnsi" w:hAnsiTheme="minorHAnsi"/>
          <w:color w:val="000000"/>
          <w:sz w:val="24"/>
          <w:szCs w:val="24"/>
        </w:rPr>
      </w:pPr>
      <w:r w:rsidRPr="00B15682">
        <w:rPr>
          <w:rFonts w:asciiTheme="minorHAnsi" w:hAnsiTheme="minorHAnsi"/>
          <w:color w:val="000000"/>
          <w:sz w:val="24"/>
          <w:szCs w:val="24"/>
        </w:rPr>
        <w:t>However, it is expected that with a proper redesign of the propulsion system to have a throttle, an adjusted chamber pressure, throat area and engine bell expansion ratio, the thrust maximum limit can be achieved.</w:t>
      </w:r>
    </w:p>
    <w:p w:rsidR="002B4B22" w:rsidRDefault="00351FCE">
      <w:pPr>
        <w:pStyle w:val="TextBody"/>
        <w:shd w:val="clear" w:color="auto" w:fill="FFFFFF"/>
        <w:rPr>
          <w:rFonts w:asciiTheme="minorHAnsi" w:hAnsiTheme="minorHAnsi"/>
          <w:color w:val="000000"/>
          <w:sz w:val="24"/>
          <w:szCs w:val="24"/>
        </w:rPr>
      </w:pPr>
      <w:r w:rsidRPr="00B15682">
        <w:rPr>
          <w:rFonts w:asciiTheme="minorHAnsi" w:hAnsiTheme="minorHAnsi"/>
          <w:color w:val="000000"/>
          <w:sz w:val="24"/>
          <w:szCs w:val="24"/>
        </w:rPr>
        <w:t xml:space="preserve">For more details on </w:t>
      </w:r>
      <w:r w:rsidR="004A273E" w:rsidRPr="00B15682">
        <w:rPr>
          <w:rFonts w:asciiTheme="minorHAnsi" w:hAnsiTheme="minorHAnsi"/>
          <w:color w:val="000000"/>
          <w:sz w:val="24"/>
          <w:szCs w:val="24"/>
        </w:rPr>
        <w:t>propellant amounts</w:t>
      </w:r>
      <w:r w:rsidRPr="00B15682">
        <w:rPr>
          <w:rFonts w:asciiTheme="minorHAnsi" w:hAnsiTheme="minorHAnsi"/>
          <w:color w:val="000000"/>
          <w:sz w:val="24"/>
          <w:szCs w:val="24"/>
        </w:rPr>
        <w:t>,</w:t>
      </w:r>
      <w:r w:rsidR="004A273E" w:rsidRPr="00B15682">
        <w:rPr>
          <w:rFonts w:asciiTheme="minorHAnsi" w:hAnsiTheme="minorHAnsi"/>
          <w:color w:val="000000"/>
          <w:sz w:val="24"/>
          <w:szCs w:val="24"/>
        </w:rPr>
        <w:t xml:space="preserve"> </w:t>
      </w:r>
      <w:r w:rsidRPr="00B15682">
        <w:rPr>
          <w:rFonts w:asciiTheme="minorHAnsi" w:hAnsiTheme="minorHAnsi"/>
          <w:color w:val="000000"/>
          <w:sz w:val="24"/>
          <w:szCs w:val="24"/>
        </w:rPr>
        <w:t>including</w:t>
      </w:r>
      <w:r w:rsidR="004A273E" w:rsidRPr="00B15682">
        <w:rPr>
          <w:rFonts w:asciiTheme="minorHAnsi" w:hAnsiTheme="minorHAnsi"/>
          <w:color w:val="000000"/>
          <w:sz w:val="24"/>
          <w:szCs w:val="24"/>
        </w:rPr>
        <w:t xml:space="preserve"> the total mass of propellant for the GT-2 baselined combination HTSD &amp; LTLD propulsion system that respectively uses a N2O-40% Aluminized Paraffin Hybrid Motor and 4 </w:t>
      </w:r>
      <w:proofErr w:type="spellStart"/>
      <w:r w:rsidR="004A273E" w:rsidRPr="00B15682">
        <w:rPr>
          <w:rFonts w:asciiTheme="minorHAnsi" w:hAnsiTheme="minorHAnsi"/>
          <w:color w:val="000000"/>
          <w:sz w:val="24"/>
          <w:szCs w:val="24"/>
        </w:rPr>
        <w:t>Busek</w:t>
      </w:r>
      <w:proofErr w:type="spellEnd"/>
      <w:r w:rsidR="004A273E" w:rsidRPr="00B15682">
        <w:rPr>
          <w:rFonts w:asciiTheme="minorHAnsi" w:hAnsiTheme="minorHAnsi"/>
          <w:color w:val="000000"/>
          <w:sz w:val="24"/>
          <w:szCs w:val="24"/>
        </w:rPr>
        <w:t xml:space="preserve"> BIT-1 electric ion thrusters fueled by Iodine</w:t>
      </w:r>
      <w:r w:rsidRPr="00B15682">
        <w:rPr>
          <w:rFonts w:asciiTheme="minorHAnsi" w:hAnsiTheme="minorHAnsi"/>
          <w:color w:val="000000"/>
          <w:sz w:val="24"/>
          <w:szCs w:val="24"/>
        </w:rPr>
        <w:t xml:space="preserve">, </w:t>
      </w:r>
      <w:r w:rsidRPr="00B15682">
        <w:rPr>
          <w:rFonts w:asciiTheme="minorHAnsi" w:hAnsiTheme="minorHAnsi"/>
          <w:color w:val="000000"/>
          <w:sz w:val="24"/>
          <w:szCs w:val="24"/>
          <w:highlight w:val="yellow"/>
        </w:rPr>
        <w:t>see the Propulsion Chapter</w:t>
      </w:r>
      <w:r w:rsidRPr="00B15682">
        <w:rPr>
          <w:rFonts w:asciiTheme="minorHAnsi" w:hAnsiTheme="minorHAnsi"/>
          <w:color w:val="000000"/>
          <w:sz w:val="24"/>
          <w:szCs w:val="24"/>
        </w:rPr>
        <w:t xml:space="preserve"> of this document</w:t>
      </w:r>
      <w:r w:rsidR="004A273E" w:rsidRPr="00B15682">
        <w:rPr>
          <w:rFonts w:asciiTheme="minorHAnsi" w:hAnsiTheme="minorHAnsi"/>
          <w:color w:val="000000"/>
          <w:sz w:val="24"/>
          <w:szCs w:val="24"/>
        </w:rPr>
        <w:t xml:space="preserve">.  The propellant masses were developed using the original </w:t>
      </w:r>
      <w:proofErr w:type="spellStart"/>
      <w:r w:rsidR="004A273E" w:rsidRPr="00B15682">
        <w:rPr>
          <w:rFonts w:asciiTheme="minorHAnsi" w:hAnsiTheme="minorHAnsi"/>
          <w:color w:val="000000"/>
          <w:sz w:val="24"/>
          <w:szCs w:val="24"/>
        </w:rPr>
        <w:t>DeltaVs</w:t>
      </w:r>
      <w:proofErr w:type="spellEnd"/>
      <w:r w:rsidR="004A273E" w:rsidRPr="00B15682">
        <w:rPr>
          <w:rFonts w:asciiTheme="minorHAnsi" w:hAnsiTheme="minorHAnsi"/>
          <w:color w:val="000000"/>
          <w:sz w:val="24"/>
          <w:szCs w:val="24"/>
        </w:rPr>
        <w:t xml:space="preserve"> of the GT-1-level trajectory and propulsion system analysis that were required to complete the ACS mission and meet the vehicle mass and volume requirements.</w:t>
      </w:r>
    </w:p>
    <w:p w:rsidR="00B91723" w:rsidRPr="00B15682" w:rsidRDefault="00B91723">
      <w:pPr>
        <w:pStyle w:val="TextBody"/>
        <w:shd w:val="clear" w:color="auto" w:fill="FFFFFF"/>
        <w:rPr>
          <w:rFonts w:asciiTheme="minorHAnsi" w:hAnsiTheme="minorHAnsi"/>
          <w:color w:val="000000"/>
          <w:sz w:val="24"/>
          <w:szCs w:val="24"/>
        </w:rPr>
      </w:pPr>
      <w:r>
        <w:rPr>
          <w:rFonts w:asciiTheme="minorHAnsi" w:hAnsiTheme="minorHAnsi"/>
          <w:color w:val="000000"/>
          <w:sz w:val="24"/>
          <w:szCs w:val="24"/>
        </w:rPr>
        <w:t xml:space="preserve">The maximum loads produced by propulsion on the ACS will be applied to the flight configuration (with solar panels deployed) to assure structural integrity of the solar panel deployment mechanism. A finite element model will be created of the ACS and deployed solar panels to test the attachment points specifically and prove they will withstand propulsion loads. </w:t>
      </w:r>
    </w:p>
    <w:p w:rsidR="002B4B22" w:rsidRPr="00B15682" w:rsidRDefault="002B4B22">
      <w:pPr>
        <w:pStyle w:val="TextBody"/>
        <w:spacing w:after="0"/>
        <w:rPr>
          <w:rFonts w:asciiTheme="minorHAnsi" w:hAnsiTheme="minorHAnsi"/>
          <w:color w:val="222222"/>
          <w:sz w:val="24"/>
          <w:szCs w:val="24"/>
        </w:rPr>
      </w:pPr>
    </w:p>
    <w:p w:rsidR="008D6214" w:rsidRPr="008D6214" w:rsidRDefault="008D6214" w:rsidP="008D6214">
      <w:pPr>
        <w:shd w:val="clear" w:color="auto" w:fill="FFFFFF"/>
        <w:suppressAutoHyphens w:val="0"/>
        <w:spacing w:after="0" w:line="240" w:lineRule="auto"/>
        <w:rPr>
          <w:rFonts w:asciiTheme="minorHAnsi" w:eastAsia="Times New Roman" w:hAnsiTheme="minorHAnsi" w:cs="Times New Roman"/>
          <w:color w:val="333333"/>
          <w:sz w:val="24"/>
          <w:szCs w:val="24"/>
        </w:rPr>
      </w:pPr>
      <w:r w:rsidRPr="008D6214">
        <w:rPr>
          <w:rFonts w:asciiTheme="minorHAnsi" w:eastAsia="Times New Roman" w:hAnsiTheme="minorHAnsi" w:cs="Times New Roman"/>
          <w:color w:val="333333"/>
          <w:sz w:val="24"/>
          <w:szCs w:val="24"/>
        </w:rPr>
        <w:t xml:space="preserve">      </w:t>
      </w:r>
    </w:p>
    <w:p w:rsidR="002B4B22" w:rsidRDefault="002B4B22">
      <w:pPr>
        <w:pStyle w:val="NormalWeb"/>
        <w:shd w:val="clear" w:color="auto" w:fill="FFFFFF"/>
      </w:pPr>
    </w:p>
    <w:sectPr w:rsidR="002B4B22">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FreeSans">
    <w:panose1 w:val="00000000000000000000"/>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F7E47"/>
    <w:multiLevelType w:val="multilevel"/>
    <w:tmpl w:val="69787C5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2026190D"/>
    <w:multiLevelType w:val="multilevel"/>
    <w:tmpl w:val="8AAC50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2F6E5C72"/>
    <w:multiLevelType w:val="multilevel"/>
    <w:tmpl w:val="96C806F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6E6446DC"/>
    <w:multiLevelType w:val="multilevel"/>
    <w:tmpl w:val="5534FC5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B22"/>
    <w:rsid w:val="002B4B22"/>
    <w:rsid w:val="0031147F"/>
    <w:rsid w:val="00351FCE"/>
    <w:rsid w:val="003B7B42"/>
    <w:rsid w:val="004A273E"/>
    <w:rsid w:val="008D6214"/>
    <w:rsid w:val="009C0AF4"/>
    <w:rsid w:val="00B15682"/>
    <w:rsid w:val="00B70C59"/>
    <w:rsid w:val="00B91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Calibr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B63EF1"/>
    <w:rPr>
      <w:rFonts w:ascii="Tahoma" w:hAnsi="Tahoma" w:cs="Tahoma"/>
      <w:sz w:val="16"/>
      <w:szCs w:val="16"/>
    </w:rPr>
  </w:style>
  <w:style w:type="character" w:customStyle="1" w:styleId="apple-converted-space">
    <w:name w:val="apple-converted-space"/>
    <w:basedOn w:val="DefaultParagraphFont"/>
    <w:rsid w:val="00573E4A"/>
  </w:style>
  <w:style w:type="character" w:customStyle="1" w:styleId="InternetLink">
    <w:name w:val="Internet Link"/>
    <w:basedOn w:val="DefaultParagraphFont"/>
    <w:uiPriority w:val="99"/>
    <w:semiHidden/>
    <w:unhideWhenUsed/>
    <w:rsid w:val="00573E4A"/>
    <w:rPr>
      <w:color w:val="0000FF"/>
      <w:u w:val="single"/>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TextBody"/>
    <w:pPr>
      <w:keepNext/>
      <w:spacing w:before="240" w:after="120"/>
    </w:pPr>
    <w:rPr>
      <w:rFonts w:ascii="Liberation Sans"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BalloonText">
    <w:name w:val="Balloon Text"/>
    <w:basedOn w:val="Normal"/>
    <w:link w:val="BalloonTextChar"/>
    <w:uiPriority w:val="99"/>
    <w:semiHidden/>
    <w:unhideWhenUsed/>
    <w:rsid w:val="00B63EF1"/>
    <w:pPr>
      <w:spacing w:after="0" w:line="240" w:lineRule="auto"/>
    </w:pPr>
    <w:rPr>
      <w:rFonts w:ascii="Tahoma" w:hAnsi="Tahoma" w:cs="Tahoma"/>
      <w:sz w:val="16"/>
      <w:szCs w:val="16"/>
    </w:rPr>
  </w:style>
  <w:style w:type="paragraph" w:customStyle="1" w:styleId="TableText1">
    <w:name w:val="Table Text 1"/>
    <w:basedOn w:val="Normal"/>
    <w:qFormat/>
    <w:rsid w:val="00261592"/>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semiHidden/>
    <w:unhideWhenUsed/>
    <w:rsid w:val="00573E4A"/>
    <w:pPr>
      <w:spacing w:after="28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Calibr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B63EF1"/>
    <w:rPr>
      <w:rFonts w:ascii="Tahoma" w:hAnsi="Tahoma" w:cs="Tahoma"/>
      <w:sz w:val="16"/>
      <w:szCs w:val="16"/>
    </w:rPr>
  </w:style>
  <w:style w:type="character" w:customStyle="1" w:styleId="apple-converted-space">
    <w:name w:val="apple-converted-space"/>
    <w:basedOn w:val="DefaultParagraphFont"/>
    <w:rsid w:val="00573E4A"/>
  </w:style>
  <w:style w:type="character" w:customStyle="1" w:styleId="InternetLink">
    <w:name w:val="Internet Link"/>
    <w:basedOn w:val="DefaultParagraphFont"/>
    <w:uiPriority w:val="99"/>
    <w:semiHidden/>
    <w:unhideWhenUsed/>
    <w:rsid w:val="00573E4A"/>
    <w:rPr>
      <w:color w:val="0000FF"/>
      <w:u w:val="single"/>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TextBody"/>
    <w:pPr>
      <w:keepNext/>
      <w:spacing w:before="240" w:after="120"/>
    </w:pPr>
    <w:rPr>
      <w:rFonts w:ascii="Liberation Sans"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BalloonText">
    <w:name w:val="Balloon Text"/>
    <w:basedOn w:val="Normal"/>
    <w:link w:val="BalloonTextChar"/>
    <w:uiPriority w:val="99"/>
    <w:semiHidden/>
    <w:unhideWhenUsed/>
    <w:rsid w:val="00B63EF1"/>
    <w:pPr>
      <w:spacing w:after="0" w:line="240" w:lineRule="auto"/>
    </w:pPr>
    <w:rPr>
      <w:rFonts w:ascii="Tahoma" w:hAnsi="Tahoma" w:cs="Tahoma"/>
      <w:sz w:val="16"/>
      <w:szCs w:val="16"/>
    </w:rPr>
  </w:style>
  <w:style w:type="paragraph" w:customStyle="1" w:styleId="TableText1">
    <w:name w:val="Table Text 1"/>
    <w:basedOn w:val="Normal"/>
    <w:qFormat/>
    <w:rsid w:val="00261592"/>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semiHidden/>
    <w:unhideWhenUsed/>
    <w:rsid w:val="00573E4A"/>
    <w:pPr>
      <w:spacing w:after="28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698277">
      <w:bodyDiv w:val="1"/>
      <w:marLeft w:val="0"/>
      <w:marRight w:val="0"/>
      <w:marTop w:val="0"/>
      <w:marBottom w:val="0"/>
      <w:divBdr>
        <w:top w:val="none" w:sz="0" w:space="0" w:color="auto"/>
        <w:left w:val="none" w:sz="0" w:space="0" w:color="auto"/>
        <w:bottom w:val="none" w:sz="0" w:space="0" w:color="auto"/>
        <w:right w:val="none" w:sz="0" w:space="0" w:color="auto"/>
      </w:divBdr>
      <w:divsChild>
        <w:div w:id="185026442">
          <w:marLeft w:val="0"/>
          <w:marRight w:val="0"/>
          <w:marTop w:val="0"/>
          <w:marBottom w:val="0"/>
          <w:divBdr>
            <w:top w:val="none" w:sz="0" w:space="0" w:color="auto"/>
            <w:left w:val="none" w:sz="0" w:space="0" w:color="auto"/>
            <w:bottom w:val="none" w:sz="0" w:space="0" w:color="auto"/>
            <w:right w:val="none" w:sz="0" w:space="0" w:color="auto"/>
          </w:divBdr>
          <w:divsChild>
            <w:div w:id="1639333889">
              <w:marLeft w:val="0"/>
              <w:marRight w:val="0"/>
              <w:marTop w:val="0"/>
              <w:marBottom w:val="0"/>
              <w:divBdr>
                <w:top w:val="none" w:sz="0" w:space="0" w:color="auto"/>
                <w:left w:val="none" w:sz="0" w:space="0" w:color="auto"/>
                <w:bottom w:val="none" w:sz="0" w:space="0" w:color="auto"/>
                <w:right w:val="none" w:sz="0" w:space="0" w:color="auto"/>
              </w:divBdr>
              <w:divsChild>
                <w:div w:id="1395541094">
                  <w:marLeft w:val="0"/>
                  <w:marRight w:val="0"/>
                  <w:marTop w:val="0"/>
                  <w:marBottom w:val="0"/>
                  <w:divBdr>
                    <w:top w:val="none" w:sz="0" w:space="0" w:color="auto"/>
                    <w:left w:val="none" w:sz="0" w:space="0" w:color="auto"/>
                    <w:bottom w:val="none" w:sz="0" w:space="0" w:color="auto"/>
                    <w:right w:val="none" w:sz="0" w:space="0" w:color="auto"/>
                  </w:divBdr>
                </w:div>
                <w:div w:id="62176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Ford</dc:creator>
  <cp:lastModifiedBy>Anastasia Ford</cp:lastModifiedBy>
  <cp:revision>2</cp:revision>
  <dcterms:created xsi:type="dcterms:W3CDTF">2016-02-06T04:08:00Z</dcterms:created>
  <dcterms:modified xsi:type="dcterms:W3CDTF">2016-02-06T04:08:00Z</dcterms:modified>
  <dc:language>en-US</dc:language>
</cp:coreProperties>
</file>